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4" w:rsidRDefault="000E42A7" w:rsidP="00BF08A5">
      <w:pPr>
        <w:pStyle w:val="aa"/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731C64" w:rsidRDefault="000E42A7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731C64" w:rsidRDefault="000E42A7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31C64" w:rsidRDefault="00731C64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</w:p>
    <w:p w:rsidR="00731C64" w:rsidRDefault="000E42A7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731C64" w:rsidRDefault="00731C64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</w:p>
    <w:p w:rsidR="00731C64" w:rsidRDefault="00731C64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</w:p>
    <w:p w:rsidR="00731C64" w:rsidRDefault="00731C64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</w:p>
    <w:p w:rsidR="00731C64" w:rsidRDefault="000E42A7" w:rsidP="00BF08A5">
      <w:pPr>
        <w:pStyle w:val="aa"/>
        <w:spacing w:line="235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</w:t>
      </w:r>
    </w:p>
    <w:p w:rsidR="00731C64" w:rsidRDefault="00731C64" w:rsidP="00BF08A5">
      <w:pPr>
        <w:pStyle w:val="aa"/>
        <w:spacing w:line="235" w:lineRule="auto"/>
        <w:rPr>
          <w:rFonts w:ascii="PT Astra Serif" w:hAnsi="PT Astra Serif"/>
          <w:sz w:val="28"/>
          <w:szCs w:val="28"/>
        </w:rPr>
      </w:pPr>
    </w:p>
    <w:p w:rsidR="00731C64" w:rsidRDefault="000E42A7" w:rsidP="00BF08A5">
      <w:pPr>
        <w:pStyle w:val="aa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731C64" w:rsidRDefault="00731C64" w:rsidP="00BF08A5">
      <w:pPr>
        <w:pStyle w:val="aa"/>
        <w:spacing w:line="235" w:lineRule="auto"/>
        <w:jc w:val="left"/>
        <w:rPr>
          <w:rFonts w:ascii="PT Astra Serif" w:hAnsi="PT Astra Serif"/>
        </w:rPr>
      </w:pPr>
    </w:p>
    <w:p w:rsidR="00731C64" w:rsidRDefault="00731C64" w:rsidP="00BF08A5">
      <w:pPr>
        <w:pStyle w:val="aa"/>
        <w:spacing w:line="235" w:lineRule="auto"/>
        <w:jc w:val="left"/>
        <w:rPr>
          <w:rFonts w:ascii="PT Astra Serif" w:hAnsi="PT Astra Serif"/>
          <w:color w:val="FFFFFF"/>
        </w:rPr>
      </w:pPr>
    </w:p>
    <w:p w:rsidR="00731C64" w:rsidRDefault="000E42A7" w:rsidP="00BF08A5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731C64" w:rsidRDefault="000E42A7" w:rsidP="00BF08A5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08.04.2020 № 14</w:t>
      </w:r>
    </w:p>
    <w:p w:rsidR="00731C64" w:rsidRDefault="00731C64" w:rsidP="00BF08A5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1C64" w:rsidRDefault="000E42A7" w:rsidP="00BF08A5">
      <w:pPr>
        <w:spacing w:after="0" w:line="23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 w:cs="Times New Roman"/>
          <w:sz w:val="28"/>
          <w:szCs w:val="28"/>
        </w:rPr>
        <w:t>з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а ю:</w:t>
      </w:r>
    </w:p>
    <w:p w:rsidR="00731C64" w:rsidRDefault="000E42A7" w:rsidP="00BF08A5">
      <w:pPr>
        <w:spacing w:after="0" w:line="235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>
        <w:rPr>
          <w:rFonts w:ascii="PT Astra Serif" w:hAnsi="PT Astra Serif" w:cs="Times New Roman"/>
          <w:spacing w:val="-8"/>
          <w:sz w:val="28"/>
          <w:szCs w:val="28"/>
        </w:rPr>
        <w:t xml:space="preserve">Внести в приложение № 2 к приказу </w:t>
      </w:r>
      <w:r>
        <w:rPr>
          <w:rFonts w:ascii="PT Astra Serif" w:hAnsi="PT Astra Serif" w:cs="Times New Roman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08.04.2020 № 14 «О некоторых мерах по предоставлению </w:t>
      </w:r>
      <w:r>
        <w:rPr>
          <w:rFonts w:ascii="PT Astra Serif" w:hAnsi="PT Astra Serif" w:cs="Times New Roman"/>
          <w:bCs/>
          <w:sz w:val="28"/>
          <w:szCs w:val="28"/>
        </w:rPr>
        <w:t>сельскохозяйственным товаропрои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зв</w:t>
      </w:r>
      <w:r>
        <w:rPr>
          <w:rFonts w:ascii="PT Astra Serif" w:hAnsi="PT Astra Serif" w:cs="Times New Roman"/>
          <w:bCs/>
          <w:sz w:val="28"/>
          <w:szCs w:val="28"/>
        </w:rPr>
        <w:t xml:space="preserve">одителям субсидий из областного бюджета Ульяновской области </w:t>
      </w:r>
      <w:r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целях возмещения части их затрат, </w:t>
      </w:r>
      <w:r>
        <w:rPr>
          <w:rFonts w:ascii="PT Astra Serif" w:hAnsi="PT Astra Serif" w:cs="Times New Roman"/>
          <w:bCs/>
          <w:spacing w:val="-8"/>
          <w:sz w:val="28"/>
          <w:szCs w:val="28"/>
        </w:rPr>
        <w:t>связанны</w:t>
      </w:r>
      <w:r>
        <w:rPr>
          <w:rFonts w:ascii="PT Astra Serif" w:hAnsi="PT Astra Serif" w:cs="Times New Roman"/>
          <w:bCs/>
          <w:sz w:val="28"/>
          <w:szCs w:val="28"/>
        </w:rPr>
        <w:t>х с проведением мероприятий, напра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вл</w:t>
      </w:r>
      <w:r>
        <w:rPr>
          <w:rFonts w:ascii="PT Astra Serif" w:hAnsi="PT Astra Serif" w:cs="Times New Roman"/>
          <w:bCs/>
          <w:sz w:val="28"/>
          <w:szCs w:val="28"/>
        </w:rPr>
        <w:t>енных на развитие мелиорации земель сельскохозяйственного назначения</w:t>
      </w:r>
      <w:r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731C64" w:rsidRDefault="000E42A7" w:rsidP="00BF08A5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1) в абзаце первом </w:t>
      </w:r>
      <w:r>
        <w:rPr>
          <w:rFonts w:ascii="PT Astra Serif" w:hAnsi="PT Astra Serif" w:cs="PT Astra Serif"/>
          <w:sz w:val="28"/>
          <w:szCs w:val="28"/>
        </w:rPr>
        <w:t>слова «В 2020 году размеры» заменить слов</w:t>
      </w:r>
      <w:r>
        <w:rPr>
          <w:rFonts w:ascii="PT Astra Serif" w:eastAsia="Times New Roman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м «Размеры»;</w:t>
      </w:r>
    </w:p>
    <w:p w:rsidR="00731C64" w:rsidRDefault="000E42A7" w:rsidP="00BF08A5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color w:val="000000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:rsidR="00731C64" w:rsidRDefault="000E42A7" w:rsidP="00BF08A5">
      <w:pPr>
        <w:spacing w:after="0" w:line="235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 xml:space="preserve">1) для предоставления </w:t>
      </w:r>
      <w:r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>
        <w:rPr>
          <w:rFonts w:ascii="PT Astra Serif" w:hAnsi="PT Astra Serif" w:cs="PT Astra Serif"/>
          <w:sz w:val="28"/>
          <w:szCs w:val="28"/>
        </w:rPr>
        <w:t>связанных с проведением гидромелиоративных мероприятий,</w:t>
      </w:r>
      <w:r>
        <w:rPr>
          <w:rFonts w:ascii="PT Astra Serif" w:hAnsi="PT Astra Serif" w:cs="PT Astra Serif"/>
          <w:sz w:val="28"/>
          <w:szCs w:val="28"/>
        </w:rPr>
        <w:br/>
        <w:t>в том числе в рамках реализации регионального проекта «Экспорт продукции агропромышленного комплекса в Ульяновской области», направленного</w:t>
      </w:r>
      <w:r>
        <w:rPr>
          <w:rFonts w:ascii="PT Astra Serif" w:hAnsi="PT Astra Serif" w:cs="PT Astra Serif"/>
          <w:sz w:val="28"/>
          <w:szCs w:val="28"/>
        </w:rPr>
        <w:br/>
        <w:t>на достижение целей, показателей и результатов реализации федерального проекта «Экспорт продукции агропромышленного комплекса», размеры ставок субсидий соответствуют</w:t>
      </w:r>
      <w:r>
        <w:rPr>
          <w:rFonts w:ascii="PT Astra Serif" w:hAnsi="PT Astra Serif" w:cs="Times New Roman"/>
          <w:sz w:val="28"/>
          <w:szCs w:val="28"/>
        </w:rPr>
        <w:t xml:space="preserve"> предельному размеру стоимости работ 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1 гектар площади мелиорируемых земель, </w:t>
      </w:r>
      <w:proofErr w:type="gramStart"/>
      <w:r>
        <w:rPr>
          <w:rFonts w:ascii="PT Astra Serif" w:hAnsi="PT Astra Serif" w:cs="Times New Roman"/>
          <w:sz w:val="28"/>
          <w:szCs w:val="28"/>
        </w:rPr>
        <w:t>установленному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приказом Министерства сельского хозяйства Российской Федерации </w:t>
      </w:r>
      <w:r>
        <w:rPr>
          <w:rFonts w:ascii="PT Astra Serif" w:hAnsi="PT Astra Serif"/>
          <w:sz w:val="28"/>
          <w:szCs w:val="28"/>
        </w:rPr>
        <w:t>от 06.08.2021 № 553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  <w:highlight w:val="white"/>
        </w:rPr>
        <w:t>«</w:t>
      </w:r>
      <w:r>
        <w:rPr>
          <w:rFonts w:ascii="PT Astra Serif" w:hAnsi="PT Astra Serif"/>
          <w:sz w:val="28"/>
          <w:szCs w:val="2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 сельскохозяйственных угодьях, вовлекаемых в сельскохозяйственный оборот</w:t>
      </w:r>
      <w:r>
        <w:rPr>
          <w:rFonts w:ascii="PT Astra Serif" w:hAnsi="PT Astra Serif" w:cs="Times New Roman"/>
          <w:sz w:val="28"/>
          <w:szCs w:val="28"/>
        </w:rPr>
        <w:t>»:</w:t>
      </w:r>
    </w:p>
    <w:tbl>
      <w:tblPr>
        <w:tblStyle w:val="af1"/>
        <w:tblW w:w="9645" w:type="dxa"/>
        <w:tblLook w:val="04A0"/>
      </w:tblPr>
      <w:tblGrid>
        <w:gridCol w:w="4875"/>
        <w:gridCol w:w="1591"/>
        <w:gridCol w:w="1589"/>
        <w:gridCol w:w="1590"/>
      </w:tblGrid>
      <w:tr w:rsidR="00731C64" w:rsidRPr="000E42A7" w:rsidTr="000E42A7">
        <w:tc>
          <w:tcPr>
            <w:tcW w:w="4875" w:type="dxa"/>
            <w:vMerge w:val="restart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770" w:type="dxa"/>
            <w:gridSpan w:val="3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Размеры ставок субсидий из областного бюджета Ульяновской области на 1 гектар площади мелиорируемых земель,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  <w:t>тыс. рублей</w:t>
            </w:r>
          </w:p>
        </w:tc>
      </w:tr>
      <w:tr w:rsidR="00731C64" w:rsidRPr="000E42A7" w:rsidTr="000E42A7">
        <w:tc>
          <w:tcPr>
            <w:tcW w:w="4875" w:type="dxa"/>
            <w:vMerge/>
            <w:vAlign w:val="center"/>
          </w:tcPr>
          <w:p w:rsidR="00731C64" w:rsidRPr="000E42A7" w:rsidRDefault="00731C64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2021 год</w:t>
            </w:r>
          </w:p>
        </w:tc>
        <w:tc>
          <w:tcPr>
            <w:tcW w:w="1589" w:type="dxa"/>
            <w:tcBorders>
              <w:right w:val="nil"/>
            </w:tcBorders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1590" w:type="dxa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2023 год</w:t>
            </w:r>
          </w:p>
        </w:tc>
      </w:tr>
      <w:tr w:rsidR="00731C64" w:rsidRPr="000E42A7" w:rsidTr="000E42A7"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Применение широкозахватных стационарных дождевальных машин нового поколения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236,7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248,8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259,5</w:t>
            </w:r>
          </w:p>
        </w:tc>
      </w:tr>
      <w:tr w:rsidR="00731C64" w:rsidRPr="000E42A7" w:rsidTr="000E42A7">
        <w:trPr>
          <w:trHeight w:val="532"/>
        </w:trPr>
        <w:tc>
          <w:tcPr>
            <w:tcW w:w="4875" w:type="dxa"/>
            <w:tcBorders>
              <w:top w:val="nil"/>
            </w:tcBorders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Применение систем капельного орошения многолетних насаждений</w:t>
            </w:r>
          </w:p>
        </w:tc>
        <w:tc>
          <w:tcPr>
            <w:tcW w:w="1591" w:type="dxa"/>
            <w:tcBorders>
              <w:top w:val="nil"/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299,8</w:t>
            </w:r>
          </w:p>
        </w:tc>
        <w:tc>
          <w:tcPr>
            <w:tcW w:w="1589" w:type="dxa"/>
            <w:tcBorders>
              <w:top w:val="nil"/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315,1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328,7</w:t>
            </w:r>
          </w:p>
        </w:tc>
      </w:tr>
      <w:tr w:rsidR="00731C64" w:rsidRPr="000E42A7" w:rsidTr="000E42A7">
        <w:trPr>
          <w:trHeight w:val="280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Применение систем капельного орошения сельскохозяйственных культур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99,4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104,5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109,0</w:t>
            </w:r>
          </w:p>
        </w:tc>
      </w:tr>
      <w:tr w:rsidR="00731C64" w:rsidRPr="000E42A7" w:rsidTr="000E42A7">
        <w:trPr>
          <w:trHeight w:val="698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осушительных мелиоративных систем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 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 использованием закрытого дренажа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205,1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215,6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224,9</w:t>
            </w:r>
          </w:p>
        </w:tc>
      </w:tr>
      <w:tr w:rsidR="00731C64" w:rsidRPr="000E42A7" w:rsidTr="000E42A7">
        <w:trPr>
          <w:trHeight w:val="298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Строительство (реконструкция) систем </w:t>
            </w:r>
            <w:proofErr w:type="spellStart"/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236,7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248,8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259,5</w:t>
            </w:r>
          </w:p>
        </w:tc>
      </w:tr>
      <w:tr w:rsidR="00731C64" w:rsidRPr="000E42A7" w:rsidTr="000E42A7">
        <w:trPr>
          <w:trHeight w:val="410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Применение широкозахватных стационарных дождевальных машин нового поколения со строительством (реконструкцией) систем </w:t>
            </w:r>
            <w:proofErr w:type="spellStart"/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355,1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373,2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389,2</w:t>
            </w:r>
          </w:p>
        </w:tc>
      </w:tr>
      <w:tr w:rsidR="00731C64" w:rsidRPr="000E42A7" w:rsidTr="000E42A7">
        <w:trPr>
          <w:trHeight w:val="556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систем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 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 внесением минеральных удобрений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189,4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199,0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207,6</w:t>
            </w:r>
          </w:p>
        </w:tc>
      </w:tr>
      <w:tr w:rsidR="00731C64" w:rsidRPr="000E42A7" w:rsidTr="000E42A7">
        <w:trPr>
          <w:trHeight w:val="422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систем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227,2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238,8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249,1</w:t>
            </w:r>
          </w:p>
        </w:tc>
      </w:tr>
      <w:tr w:rsidR="00731C64" w:rsidRPr="000E42A7" w:rsidTr="000E42A7">
        <w:trPr>
          <w:trHeight w:val="713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систем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  <w:t>с применением систем учёта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 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горюче-смазочных материалов, расхода электроэнергии и воды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175,2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184,1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192,0</w:t>
            </w:r>
          </w:p>
        </w:tc>
      </w:tr>
      <w:tr w:rsidR="00731C64" w:rsidRPr="000E42A7" w:rsidTr="000E42A7">
        <w:trPr>
          <w:trHeight w:val="585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систем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t xml:space="preserve"> </w:t>
            </w:r>
            <w:r w:rsidR="00C8786B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 использованием автоматизированного управления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186,2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195,7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204,1</w:t>
            </w:r>
          </w:p>
        </w:tc>
      </w:tr>
      <w:tr w:rsidR="00731C64" w:rsidRPr="000E42A7" w:rsidTr="000E42A7">
        <w:trPr>
          <w:trHeight w:val="267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 (реконструкция) систем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  <w:t>с использованием комплексной дистанционной автоматизации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194,1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204,0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212,8</w:t>
            </w:r>
          </w:p>
        </w:tc>
      </w:tr>
      <w:tr w:rsidR="00731C64" w:rsidRPr="000E42A7" w:rsidTr="000E42A7">
        <w:trPr>
          <w:trHeight w:val="421"/>
        </w:trPr>
        <w:tc>
          <w:tcPr>
            <w:tcW w:w="4875" w:type="dxa"/>
          </w:tcPr>
          <w:p w:rsidR="00731C64" w:rsidRPr="000E42A7" w:rsidRDefault="000E42A7" w:rsidP="00C8786B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Строительство, реконструкция</w:t>
            </w: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br/>
              <w:t>и техническое перевооружение мелиоративных систем, за исключением вышеуказанных</w:t>
            </w:r>
          </w:p>
        </w:tc>
        <w:tc>
          <w:tcPr>
            <w:tcW w:w="1591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102,6</w:t>
            </w:r>
          </w:p>
        </w:tc>
        <w:tc>
          <w:tcPr>
            <w:tcW w:w="1589" w:type="dxa"/>
            <w:tcBorders>
              <w:right w:val="nil"/>
            </w:tcBorders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107,8</w:t>
            </w:r>
          </w:p>
        </w:tc>
        <w:tc>
          <w:tcPr>
            <w:tcW w:w="1590" w:type="dxa"/>
            <w:vAlign w:val="center"/>
          </w:tcPr>
          <w:p w:rsidR="00731C64" w:rsidRPr="000E42A7" w:rsidRDefault="000E42A7" w:rsidP="00BF08A5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E42A7">
              <w:rPr>
                <w:rFonts w:ascii="PT Astra Serif" w:eastAsiaTheme="minorEastAsia" w:hAnsi="PT Astra Serif" w:cs="PT Astra Serif"/>
                <w:sz w:val="24"/>
                <w:szCs w:val="24"/>
              </w:rPr>
              <w:t>112,4</w:t>
            </w:r>
          </w:p>
        </w:tc>
      </w:tr>
    </w:tbl>
    <w:p w:rsidR="00731C64" w:rsidRDefault="000E42A7" w:rsidP="00BF08A5">
      <w:pPr>
        <w:pStyle w:val="ac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hd w:val="clear" w:color="auto" w:fill="FFFFFF"/>
        </w:rPr>
        <w:t>В случае если стоимость работ на 1 гектар площади мелиорируемых земель меньше установленного размера ставки субсидии из областного бюджета Ульяновской области, то при расчёте объёма субсидии применяется фактические затраты сельскохозяйственного товаропроизводителя, связанные</w:t>
      </w:r>
      <w:r>
        <w:rPr>
          <w:rFonts w:ascii="PT Astra Serif" w:hAnsi="PT Astra Serif"/>
          <w:shd w:val="clear" w:color="auto" w:fill="FFFFFF"/>
        </w:rPr>
        <w:br/>
        <w:t>с выполнением указанных в настоящем пункте работ, из расчёта на 1 гектар площади мелиорируемых земель</w:t>
      </w:r>
      <w:proofErr w:type="gramStart"/>
      <w:r>
        <w:rPr>
          <w:rFonts w:ascii="PT Astra Serif" w:hAnsi="PT Astra Serif"/>
          <w:shd w:val="clear" w:color="auto" w:fill="FFFFFF"/>
        </w:rPr>
        <w:t>;</w:t>
      </w:r>
      <w:r w:rsidR="00BF08A5">
        <w:rPr>
          <w:rFonts w:ascii="PT Astra Serif" w:hAnsi="PT Astra Serif"/>
          <w:shd w:val="clear" w:color="auto" w:fill="FFFFFF"/>
        </w:rPr>
        <w:t>»</w:t>
      </w:r>
      <w:proofErr w:type="gramEnd"/>
      <w:r w:rsidR="00BF08A5">
        <w:rPr>
          <w:rFonts w:ascii="PT Astra Serif" w:hAnsi="PT Astra Serif"/>
          <w:shd w:val="clear" w:color="auto" w:fill="FFFFFF"/>
        </w:rPr>
        <w:t>.</w:t>
      </w:r>
    </w:p>
    <w:p w:rsidR="00731C64" w:rsidRDefault="000E42A7" w:rsidP="00BF08A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731C64" w:rsidRDefault="00731C64" w:rsidP="00BF08A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31C64" w:rsidRDefault="00731C64" w:rsidP="00BF08A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86D80" w:rsidRDefault="00786D80" w:rsidP="00BF08A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31C64" w:rsidRDefault="000E42A7" w:rsidP="00BF08A5">
      <w:pPr>
        <w:spacing w:after="0" w:line="235" w:lineRule="auto"/>
        <w:contextualSpacing/>
        <w:jc w:val="both"/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731C64" w:rsidRDefault="000E42A7" w:rsidP="00BF08A5">
      <w:pPr>
        <w:spacing w:after="0" w:line="235" w:lineRule="auto"/>
        <w:contextualSpacing/>
        <w:jc w:val="both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731C64" w:rsidRDefault="000E42A7" w:rsidP="00BF08A5">
      <w:pPr>
        <w:spacing w:after="0" w:line="235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731C64" w:rsidSect="00731C64">
      <w:headerReference w:type="default" r:id="rId6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4" w:rsidRDefault="00F50174" w:rsidP="00731C64">
      <w:pPr>
        <w:spacing w:after="0" w:line="240" w:lineRule="auto"/>
      </w:pPr>
      <w:r>
        <w:separator/>
      </w:r>
    </w:p>
  </w:endnote>
  <w:endnote w:type="continuationSeparator" w:id="0">
    <w:p w:rsidR="00F50174" w:rsidRDefault="00F50174" w:rsidP="0073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4" w:rsidRDefault="00F50174" w:rsidP="00731C64">
      <w:pPr>
        <w:spacing w:after="0" w:line="240" w:lineRule="auto"/>
      </w:pPr>
      <w:r>
        <w:separator/>
      </w:r>
    </w:p>
  </w:footnote>
  <w:footnote w:type="continuationSeparator" w:id="0">
    <w:p w:rsidR="00F50174" w:rsidRDefault="00F50174" w:rsidP="0073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58917"/>
      <w:docPartObj>
        <w:docPartGallery w:val="Page Numbers (Top of Page)"/>
        <w:docPartUnique/>
      </w:docPartObj>
    </w:sdtPr>
    <w:sdtContent>
      <w:p w:rsidR="00F50174" w:rsidRDefault="005E66C2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F50174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786D80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64"/>
    <w:rsid w:val="000E42A7"/>
    <w:rsid w:val="00384450"/>
    <w:rsid w:val="005E66C2"/>
    <w:rsid w:val="00731C64"/>
    <w:rsid w:val="00786D80"/>
    <w:rsid w:val="00A02916"/>
    <w:rsid w:val="00BF08A5"/>
    <w:rsid w:val="00C8786B"/>
    <w:rsid w:val="00F5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C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paragraph" w:customStyle="1" w:styleId="a6">
    <w:name w:val="Заголовок"/>
    <w:basedOn w:val="a"/>
    <w:next w:val="a7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7">
    <w:name w:val="Body Text"/>
    <w:basedOn w:val="a"/>
    <w:rsid w:val="00731C64"/>
    <w:pPr>
      <w:spacing w:after="140"/>
    </w:pPr>
  </w:style>
  <w:style w:type="paragraph" w:styleId="a8">
    <w:name w:val="List"/>
    <w:basedOn w:val="a7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a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c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d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5E46C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E46C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731C64"/>
    <w:pPr>
      <w:suppressLineNumbers/>
    </w:pPr>
  </w:style>
  <w:style w:type="paragraph" w:customStyle="1" w:styleId="af">
    <w:name w:val="Заголовок таблицы"/>
    <w:basedOn w:val="ae"/>
    <w:qFormat/>
    <w:rsid w:val="00731C64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7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af1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786B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08.04.2020 N 14"О некоторых мерах по предоставлению сельскохозяйственным товаропроизводителям субсидий из областного бюджета Ульяновской области в целях воз</vt:lpstr>
    </vt:vector>
  </TitlesOfParts>
  <Company>КонсультантПлюс Версия 4021.00.31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08.04.2020 N 14"О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назначения"(вместе с "Перечнем машин и оборудования для технического перевооружения мелиоративных систем и гидротехнических соор</dc:title>
  <dc:subject/>
  <dc:creator>Пользователь</dc:creator>
  <dc:description/>
  <cp:lastModifiedBy>Пользователь</cp:lastModifiedBy>
  <cp:revision>15</cp:revision>
  <cp:lastPrinted>2021-10-06T12:09:00Z</cp:lastPrinted>
  <dcterms:created xsi:type="dcterms:W3CDTF">2021-10-06T13:43:00Z</dcterms:created>
  <dcterms:modified xsi:type="dcterms:W3CDTF">2021-10-06T12:11:00Z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